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77CDE4" w14:textId="2DFC95DA" w:rsidR="00F83472" w:rsidRPr="001D3895" w:rsidRDefault="006948E0" w:rsidP="00227842">
      <w:pPr>
        <w:spacing w:before="100" w:beforeAutospacing="1" w:after="100" w:afterAutospacing="1"/>
        <w:jc w:val="left"/>
        <w:rPr>
          <w:rFonts w:ascii="Times New Roman" w:hAnsi="Times New Roman"/>
          <w:b/>
          <w:sz w:val="24"/>
          <w:lang w:val="en-GB"/>
        </w:rPr>
      </w:pPr>
      <w:r>
        <w:rPr>
          <w:noProof/>
        </w:rPr>
        <w:drawing>
          <wp:inline distT="0" distB="0" distL="0" distR="0" wp14:anchorId="6F31355D" wp14:editId="1925D5FF">
            <wp:extent cx="5253487" cy="3521568"/>
            <wp:effectExtent l="0" t="0" r="444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196" cy="352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28EAE" w14:textId="2230C488" w:rsidR="00E06974" w:rsidRPr="001D3895" w:rsidRDefault="00FD6290" w:rsidP="00CB4829">
      <w:pPr>
        <w:jc w:val="left"/>
        <w:rPr>
          <w:lang w:val="en-GB"/>
        </w:rPr>
      </w:pPr>
      <w:r w:rsidRPr="001D3895">
        <w:rPr>
          <w:rFonts w:ascii="Times New Roman" w:hAnsi="Times New Roman"/>
          <w:b/>
          <w:sz w:val="24"/>
          <w:lang w:val="en-GB"/>
        </w:rPr>
        <w:t xml:space="preserve">Supplementary Figure 1. </w:t>
      </w:r>
      <w:r w:rsidRPr="001D3895">
        <w:rPr>
          <w:rFonts w:ascii="Times New Roman" w:hAnsi="Times New Roman"/>
          <w:sz w:val="24"/>
          <w:lang w:val="en-GB"/>
        </w:rPr>
        <w:t xml:space="preserve">High </w:t>
      </w:r>
      <w:r w:rsidR="001D3895" w:rsidRPr="001D3895">
        <w:rPr>
          <w:rFonts w:ascii="Times New Roman" w:hAnsi="Times New Roman"/>
          <w:sz w:val="24"/>
          <w:lang w:val="en-GB"/>
        </w:rPr>
        <w:t xml:space="preserve">mRNA </w:t>
      </w:r>
      <w:r w:rsidRPr="001D3895">
        <w:rPr>
          <w:rFonts w:ascii="Times New Roman" w:hAnsi="Times New Roman"/>
          <w:sz w:val="24"/>
          <w:lang w:val="en-GB"/>
        </w:rPr>
        <w:t xml:space="preserve">expression levels of IGFBP2 and PD-L1 may better predict the efficacy of anti-PD-1 treatment.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a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1D3895">
        <w:rPr>
          <w:rFonts w:ascii="Times New Roman" w:hAnsi="Times New Roman"/>
          <w:sz w:val="24"/>
          <w:lang w:val="en-GB"/>
        </w:rPr>
        <w:t xml:space="preserve"> The expression levels of P</w:t>
      </w:r>
      <w:r w:rsidRPr="00BE023C">
        <w:rPr>
          <w:rFonts w:ascii="Times New Roman" w:hAnsi="Times New Roman"/>
          <w:sz w:val="24"/>
          <w:lang w:val="en-GB"/>
        </w:rPr>
        <w:t>D-L1-related genes, including PD-L1 itself, in 28 melanoma patients (GSE78220). The mRNA expression levels of genes with hypothetical roles in modulating response to anti-PD-1 therapy from RNA</w:t>
      </w:r>
      <w:r w:rsidR="001D3895" w:rsidRPr="00BE023C">
        <w:rPr>
          <w:rFonts w:ascii="Times New Roman" w:hAnsi="Times New Roman"/>
          <w:sz w:val="24"/>
          <w:lang w:val="en-GB"/>
        </w:rPr>
        <w:t>-</w:t>
      </w:r>
      <w:r w:rsidRPr="00BE023C">
        <w:rPr>
          <w:rFonts w:ascii="Times New Roman" w:hAnsi="Times New Roman"/>
          <w:sz w:val="24"/>
          <w:lang w:val="en-GB"/>
        </w:rPr>
        <w:t xml:space="preserve">seq data GSE78220 of 28 melanoma patients who received anti-PD-1 treatment. RESPONSE: response to anti-PD-1 treatment. The red box indicates a positive response.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b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High expression level of PD-L1 was positively correlated with </w:t>
      </w:r>
      <w:r w:rsidR="001D3895" w:rsidRPr="00BE023C">
        <w:rPr>
          <w:rFonts w:ascii="Times New Roman" w:hAnsi="Times New Roman"/>
          <w:sz w:val="24"/>
          <w:lang w:val="en-GB"/>
        </w:rPr>
        <w:t xml:space="preserve">the </w:t>
      </w:r>
      <w:r w:rsidRPr="00BE023C">
        <w:rPr>
          <w:rFonts w:ascii="Times New Roman" w:hAnsi="Times New Roman"/>
          <w:sz w:val="24"/>
          <w:lang w:val="en-GB"/>
        </w:rPr>
        <w:t xml:space="preserve">response to anti-PD-1 treatment, but without statistical significance. Differential expression of PD-L1 mRNA levels in </w:t>
      </w:r>
      <w:r w:rsidR="001D3895" w:rsidRPr="00BE023C">
        <w:rPr>
          <w:rFonts w:ascii="Times New Roman" w:hAnsi="Times New Roman"/>
          <w:sz w:val="24"/>
          <w:lang w:val="en-GB"/>
        </w:rPr>
        <w:t>tumour</w:t>
      </w:r>
      <w:r w:rsidRPr="00BE023C">
        <w:rPr>
          <w:rFonts w:ascii="Times New Roman" w:hAnsi="Times New Roman"/>
          <w:sz w:val="24"/>
          <w:lang w:val="en-GB"/>
        </w:rPr>
        <w:t xml:space="preserve">s from responders (R) and non-responders (NR) to anti-PD-1 treatment.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c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Fisher’s exact test indicates that the melanoma patient group with both high PD-L1 and high IGFBP2 mRNA expression levels showed a better response to anti-PD-1 treatment than the other patient groups (</w:t>
      </w:r>
      <w:r w:rsidR="001D3895" w:rsidRPr="00BE023C">
        <w:rPr>
          <w:rFonts w:ascii="Times New Roman" w:hAnsi="Times New Roman"/>
          <w:sz w:val="24"/>
          <w:lang w:val="en-GB"/>
        </w:rPr>
        <w:t>p</w:t>
      </w:r>
      <w:r w:rsidRPr="00BE023C">
        <w:rPr>
          <w:rFonts w:ascii="Times New Roman" w:hAnsi="Times New Roman"/>
          <w:sz w:val="24"/>
          <w:lang w:val="en-GB"/>
        </w:rPr>
        <w:t xml:space="preserve"> &lt; 0.05).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d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ROC curve shows that patients with both high PD-L1 and high IGFBP2 mRNA responded better to anti-PD-1 treatment than patients with only high PD-L1 mRNA or high IGFBP2 mRNA expression (AUC: 0.667 vs. 0.536).</w:t>
      </w:r>
      <w:r w:rsidR="00C8354D" w:rsidRPr="00BE023C">
        <w:rPr>
          <w:lang w:val="en-GB"/>
        </w:rPr>
        <w:t xml:space="preserve"> </w:t>
      </w:r>
      <w:r w:rsidR="005B287F" w:rsidRPr="00BE023C">
        <w:t xml:space="preserve"> </w:t>
      </w:r>
      <w:r w:rsidR="006948E0">
        <w:rPr>
          <w:noProof/>
        </w:rPr>
        <w:lastRenderedPageBreak/>
        <w:drawing>
          <wp:inline distT="0" distB="0" distL="0" distR="0" wp14:anchorId="0EAA0562" wp14:editId="48C3FF95">
            <wp:extent cx="5229093" cy="49628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903" cy="496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2C85D6F" w14:textId="689E58FB" w:rsidR="00C8354D" w:rsidRPr="00BE023C" w:rsidRDefault="00FD6290" w:rsidP="00C8354D">
      <w:pPr>
        <w:rPr>
          <w:rFonts w:ascii="Times New Roman" w:hAnsi="Times New Roman"/>
          <w:b/>
          <w:kern w:val="0"/>
          <w:sz w:val="24"/>
          <w:szCs w:val="24"/>
          <w:shd w:val="clear" w:color="auto" w:fill="FFFFFF"/>
          <w:lang w:val="en-GB"/>
        </w:rPr>
      </w:pPr>
      <w:r w:rsidRPr="001D3895">
        <w:rPr>
          <w:rFonts w:ascii="Times New Roman" w:hAnsi="Times New Roman"/>
          <w:b/>
          <w:sz w:val="24"/>
          <w:lang w:val="en-GB"/>
        </w:rPr>
        <w:t>Supplementary Figure 2.</w:t>
      </w:r>
      <w:r w:rsidRPr="001D3895">
        <w:rPr>
          <w:rFonts w:ascii="Times New Roman" w:hAnsi="Times New Roman"/>
          <w:sz w:val="24"/>
          <w:lang w:val="en-GB"/>
        </w:rPr>
        <w:t xml:space="preserve"> IGFBP2 combined with PD-L1 may predict the efficacy of anti-PD-1 treatment.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a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1D3895">
        <w:rPr>
          <w:rFonts w:ascii="Times New Roman" w:hAnsi="Times New Roman"/>
          <w:sz w:val="24"/>
          <w:lang w:val="en-GB"/>
        </w:rPr>
        <w:t xml:space="preserve"> Changes in the size of the target lesions after anti-PD-1 treatment compared with </w:t>
      </w:r>
      <w:r w:rsidR="00AE46E9">
        <w:rPr>
          <w:rFonts w:ascii="Times New Roman" w:hAnsi="Times New Roman"/>
          <w:sz w:val="24"/>
          <w:lang w:val="en-GB"/>
        </w:rPr>
        <w:t xml:space="preserve">the </w:t>
      </w:r>
      <w:r w:rsidRPr="001D3895">
        <w:rPr>
          <w:rFonts w:ascii="Times New Roman" w:hAnsi="Times New Roman"/>
          <w:sz w:val="24"/>
          <w:lang w:val="en-GB"/>
        </w:rPr>
        <w:t xml:space="preserve">baseline in </w:t>
      </w:r>
      <w:r w:rsidRPr="001D3895">
        <w:rPr>
          <w:rFonts w:ascii="Times New Roman" w:hAnsi="Times New Roman" w:hint="eastAsia"/>
          <w:sz w:val="24"/>
          <w:lang w:val="en-GB"/>
        </w:rPr>
        <w:t>6</w:t>
      </w:r>
      <w:r w:rsidRPr="001D3895">
        <w:rPr>
          <w:rFonts w:ascii="Times New Roman" w:hAnsi="Times New Roman"/>
          <w:sz w:val="24"/>
          <w:lang w:val="en-GB"/>
        </w:rPr>
        <w:t xml:space="preserve"> melanoma patients with measurable lesions. The green line shows that the target lesions shrank more than 30% </w:t>
      </w:r>
      <w:r w:rsidR="00AE46E9">
        <w:rPr>
          <w:rFonts w:ascii="Times New Roman" w:hAnsi="Times New Roman"/>
          <w:sz w:val="24"/>
          <w:lang w:val="en-GB"/>
        </w:rPr>
        <w:t>by the final measurement</w:t>
      </w:r>
      <w:r w:rsidRPr="001D3895">
        <w:rPr>
          <w:rFonts w:ascii="Times New Roman" w:hAnsi="Times New Roman"/>
          <w:sz w:val="24"/>
          <w:lang w:val="en-GB"/>
        </w:rPr>
        <w:t xml:space="preserve">. The red lines show that the target lesions increased by 20% </w:t>
      </w:r>
      <w:r w:rsidR="00AE46E9">
        <w:rPr>
          <w:rFonts w:ascii="Times New Roman" w:hAnsi="Times New Roman"/>
          <w:sz w:val="24"/>
          <w:lang w:val="en-GB"/>
        </w:rPr>
        <w:t>by the final measurement</w:t>
      </w:r>
      <w:r w:rsidRPr="001D3895">
        <w:rPr>
          <w:rFonts w:ascii="Times New Roman" w:hAnsi="Times New Roman"/>
          <w:sz w:val="24"/>
          <w:lang w:val="en-GB"/>
        </w:rPr>
        <w:t>. The yellow lines represent the target lesions that changed between 20% and -30%. One patient achieved</w:t>
      </w:r>
      <w:r w:rsidRPr="00BE023C">
        <w:rPr>
          <w:rFonts w:ascii="Times New Roman" w:hAnsi="Times New Roman"/>
          <w:sz w:val="24"/>
          <w:lang w:val="en-GB"/>
        </w:rPr>
        <w:t xml:space="preserve"> PR, two patients achieved SD and </w:t>
      </w:r>
      <w:r w:rsidRPr="00BE023C">
        <w:rPr>
          <w:rFonts w:ascii="Times New Roman" w:hAnsi="Times New Roman" w:hint="eastAsia"/>
          <w:sz w:val="24"/>
          <w:lang w:val="en-GB"/>
        </w:rPr>
        <w:t>three</w:t>
      </w:r>
      <w:r w:rsidRPr="00BE023C">
        <w:rPr>
          <w:rFonts w:ascii="Times New Roman" w:hAnsi="Times New Roman"/>
          <w:sz w:val="24"/>
          <w:lang w:val="en-GB"/>
        </w:rPr>
        <w:t xml:space="preserve"> patients suffered from PD. </w:t>
      </w:r>
      <w:r w:rsidR="005F79F9">
        <w:rPr>
          <w:rFonts w:ascii="Times New Roman" w:hAnsi="Times New Roman"/>
          <w:b/>
          <w:sz w:val="24"/>
          <w:lang w:val="en-GB"/>
        </w:rPr>
        <w:t>(</w:t>
      </w:r>
      <w:r w:rsidR="00EA6A6A">
        <w:rPr>
          <w:rFonts w:ascii="Times New Roman" w:hAnsi="Times New Roman"/>
          <w:b/>
          <w:sz w:val="24"/>
          <w:lang w:val="en-GB"/>
        </w:rPr>
        <w:t>b</w:t>
      </w:r>
      <w:r w:rsidR="005F79F9">
        <w:rPr>
          <w:rFonts w:ascii="Times New Roman" w:hAnsi="Times New Roman"/>
          <w:b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The maximum change </w:t>
      </w:r>
      <w:r w:rsidR="00DE11BB" w:rsidRPr="00BE023C">
        <w:rPr>
          <w:rFonts w:ascii="Times New Roman" w:hAnsi="Times New Roman"/>
          <w:sz w:val="24"/>
          <w:lang w:val="en-GB"/>
        </w:rPr>
        <w:t xml:space="preserve">in </w:t>
      </w:r>
      <w:r w:rsidRPr="00BE023C">
        <w:rPr>
          <w:rFonts w:ascii="Times New Roman" w:hAnsi="Times New Roman"/>
          <w:sz w:val="24"/>
          <w:lang w:val="en-GB"/>
        </w:rPr>
        <w:t xml:space="preserve">the target lesions in </w:t>
      </w:r>
      <w:r w:rsidRPr="00BE023C">
        <w:rPr>
          <w:rFonts w:ascii="Times New Roman" w:hAnsi="Times New Roman" w:hint="eastAsia"/>
          <w:sz w:val="24"/>
          <w:lang w:val="en-GB"/>
        </w:rPr>
        <w:t>6</w:t>
      </w:r>
      <w:r w:rsidRPr="00BE023C">
        <w:rPr>
          <w:rFonts w:ascii="Times New Roman" w:hAnsi="Times New Roman"/>
          <w:sz w:val="24"/>
          <w:lang w:val="en-GB"/>
        </w:rPr>
        <w:t xml:space="preserve"> melanoma patients treated with Keytruda or Opdivo was evaluated by RECIST 1.1.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c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 xml:space="preserve">, </w:t>
      </w:r>
      <w:r w:rsidR="00EA6A6A">
        <w:rPr>
          <w:rFonts w:ascii="Times New Roman" w:hAnsi="Times New Roman"/>
          <w:b/>
          <w:bCs/>
          <w:sz w:val="24"/>
          <w:lang w:val="en-GB"/>
        </w:rPr>
        <w:t>d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 xml:space="preserve">, </w:t>
      </w:r>
      <w:r w:rsidR="00EA6A6A">
        <w:rPr>
          <w:rFonts w:ascii="Times New Roman" w:hAnsi="Times New Roman"/>
          <w:b/>
          <w:bCs/>
          <w:sz w:val="24"/>
          <w:lang w:val="en-GB"/>
        </w:rPr>
        <w:t>e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The pathological data of one patient with lung metastatic melanoma and response to anti-PD-1 treatment showed a high level of IGFBP2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c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EGFR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d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and PD-L1</w:t>
      </w:r>
      <w:r w:rsidR="00DE11BB" w:rsidRPr="005F79F9">
        <w:rPr>
          <w:rFonts w:ascii="Times New Roman" w:hAnsi="Times New Roman"/>
          <w:b/>
          <w:bCs/>
          <w:sz w:val="24"/>
          <w:lang w:val="en-GB"/>
        </w:rPr>
        <w:t xml:space="preserve">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e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expression.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f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 xml:space="preserve">, </w:t>
      </w:r>
      <w:r w:rsidR="00EA6A6A">
        <w:rPr>
          <w:rFonts w:ascii="Times New Roman" w:hAnsi="Times New Roman"/>
          <w:b/>
          <w:bCs/>
          <w:sz w:val="24"/>
          <w:lang w:val="en-GB"/>
        </w:rPr>
        <w:t>g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 xml:space="preserve">, </w:t>
      </w:r>
      <w:r w:rsidR="00EA6A6A">
        <w:rPr>
          <w:rFonts w:ascii="Times New Roman" w:hAnsi="Times New Roman"/>
          <w:b/>
          <w:bCs/>
          <w:sz w:val="24"/>
          <w:lang w:val="en-GB"/>
        </w:rPr>
        <w:t>h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 xml:space="preserve">, </w:t>
      </w:r>
      <w:r w:rsidR="00EA6A6A">
        <w:rPr>
          <w:rFonts w:ascii="Times New Roman" w:hAnsi="Times New Roman"/>
          <w:b/>
          <w:bCs/>
          <w:sz w:val="24"/>
          <w:lang w:val="en-GB"/>
        </w:rPr>
        <w:t>i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The repeated chest CT showed the PR patient with increased volumes of lung metastases at 2.6 months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f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-</w:t>
      </w:r>
      <w:r w:rsidR="00EA6A6A">
        <w:rPr>
          <w:rFonts w:ascii="Times New Roman" w:hAnsi="Times New Roman"/>
          <w:b/>
          <w:bCs/>
          <w:sz w:val="24"/>
          <w:lang w:val="en-GB"/>
        </w:rPr>
        <w:t>g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and then a gradual decrease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EA6A6A">
        <w:rPr>
          <w:rFonts w:ascii="Times New Roman" w:hAnsi="Times New Roman"/>
          <w:b/>
          <w:bCs/>
          <w:sz w:val="24"/>
          <w:lang w:val="en-GB"/>
        </w:rPr>
        <w:t>h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-</w:t>
      </w:r>
      <w:r w:rsidR="00EA6A6A">
        <w:rPr>
          <w:rFonts w:ascii="Times New Roman" w:hAnsi="Times New Roman"/>
          <w:b/>
          <w:bCs/>
          <w:sz w:val="24"/>
          <w:lang w:val="en-GB"/>
        </w:rPr>
        <w:t>i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>.</w:t>
      </w:r>
    </w:p>
    <w:p w14:paraId="6BB55C50" w14:textId="77777777" w:rsidR="00C8354D" w:rsidRPr="00BE023C" w:rsidRDefault="00C8354D" w:rsidP="00227842">
      <w:pPr>
        <w:rPr>
          <w:b/>
          <w:lang w:val="en-GB"/>
        </w:rPr>
      </w:pPr>
    </w:p>
    <w:sectPr w:rsidR="00C8354D" w:rsidRPr="00BE023C" w:rsidSect="00273466">
      <w:pgSz w:w="11906" w:h="16838" w:code="9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7FE5BF" w14:textId="77777777" w:rsidR="00496A50" w:rsidRDefault="00496A50" w:rsidP="004B4E9E">
      <w:r>
        <w:separator/>
      </w:r>
    </w:p>
  </w:endnote>
  <w:endnote w:type="continuationSeparator" w:id="0">
    <w:p w14:paraId="6C28D7D3" w14:textId="77777777" w:rsidR="00496A50" w:rsidRDefault="00496A50" w:rsidP="004B4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DC58FF" w14:textId="77777777" w:rsidR="00496A50" w:rsidRDefault="00496A50" w:rsidP="004B4E9E">
      <w:r>
        <w:separator/>
      </w:r>
    </w:p>
  </w:footnote>
  <w:footnote w:type="continuationSeparator" w:id="0">
    <w:p w14:paraId="073BF68F" w14:textId="77777777" w:rsidR="00496A50" w:rsidRDefault="00496A50" w:rsidP="004B4E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903DFE"/>
    <w:multiLevelType w:val="hybridMultilevel"/>
    <w:tmpl w:val="88CA380C"/>
    <w:lvl w:ilvl="0" w:tplc="F274EDE2">
      <w:start w:val="1"/>
      <w:numFmt w:val="upperLetter"/>
      <w:lvlText w:val="(%1)"/>
      <w:lvlJc w:val="left"/>
      <w:pPr>
        <w:ind w:left="384" w:hanging="384"/>
      </w:pPr>
      <w:rPr>
        <w:rFonts w:hint="default"/>
        <w:b/>
      </w:rPr>
    </w:lvl>
    <w:lvl w:ilvl="1" w:tplc="B1B268D4" w:tentative="1">
      <w:start w:val="1"/>
      <w:numFmt w:val="lowerLetter"/>
      <w:lvlText w:val="%2)"/>
      <w:lvlJc w:val="left"/>
      <w:pPr>
        <w:ind w:left="840" w:hanging="420"/>
      </w:pPr>
    </w:lvl>
    <w:lvl w:ilvl="2" w:tplc="1D407638" w:tentative="1">
      <w:start w:val="1"/>
      <w:numFmt w:val="lowerRoman"/>
      <w:lvlText w:val="%3."/>
      <w:lvlJc w:val="right"/>
      <w:pPr>
        <w:ind w:left="1260" w:hanging="420"/>
      </w:pPr>
    </w:lvl>
    <w:lvl w:ilvl="3" w:tplc="D57EE6F0" w:tentative="1">
      <w:start w:val="1"/>
      <w:numFmt w:val="decimal"/>
      <w:lvlText w:val="%4."/>
      <w:lvlJc w:val="left"/>
      <w:pPr>
        <w:ind w:left="1680" w:hanging="420"/>
      </w:pPr>
    </w:lvl>
    <w:lvl w:ilvl="4" w:tplc="274846FC" w:tentative="1">
      <w:start w:val="1"/>
      <w:numFmt w:val="lowerLetter"/>
      <w:lvlText w:val="%5)"/>
      <w:lvlJc w:val="left"/>
      <w:pPr>
        <w:ind w:left="2100" w:hanging="420"/>
      </w:pPr>
    </w:lvl>
    <w:lvl w:ilvl="5" w:tplc="C246A1E2" w:tentative="1">
      <w:start w:val="1"/>
      <w:numFmt w:val="lowerRoman"/>
      <w:lvlText w:val="%6."/>
      <w:lvlJc w:val="right"/>
      <w:pPr>
        <w:ind w:left="2520" w:hanging="420"/>
      </w:pPr>
    </w:lvl>
    <w:lvl w:ilvl="6" w:tplc="0A0269A4" w:tentative="1">
      <w:start w:val="1"/>
      <w:numFmt w:val="decimal"/>
      <w:lvlText w:val="%7."/>
      <w:lvlJc w:val="left"/>
      <w:pPr>
        <w:ind w:left="2940" w:hanging="420"/>
      </w:pPr>
    </w:lvl>
    <w:lvl w:ilvl="7" w:tplc="31C0F210" w:tentative="1">
      <w:start w:val="1"/>
      <w:numFmt w:val="lowerLetter"/>
      <w:lvlText w:val="%8)"/>
      <w:lvlJc w:val="left"/>
      <w:pPr>
        <w:ind w:left="3360" w:hanging="420"/>
      </w:pPr>
    </w:lvl>
    <w:lvl w:ilvl="8" w:tplc="03CC24B2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MachineID" w:val="207|207|197|185|203|197|199|187|197|187|185|197|186|185|197|207|206|"/>
    <w:docVar w:name="Username" w:val="Editor"/>
  </w:docVars>
  <w:rsids>
    <w:rsidRoot w:val="00F83472"/>
    <w:rsid w:val="00020CD9"/>
    <w:rsid w:val="00020D56"/>
    <w:rsid w:val="00046B07"/>
    <w:rsid w:val="000535CF"/>
    <w:rsid w:val="00055B9F"/>
    <w:rsid w:val="00071291"/>
    <w:rsid w:val="000A4911"/>
    <w:rsid w:val="000D511B"/>
    <w:rsid w:val="000E286B"/>
    <w:rsid w:val="000E439D"/>
    <w:rsid w:val="000F3852"/>
    <w:rsid w:val="00122815"/>
    <w:rsid w:val="001723B7"/>
    <w:rsid w:val="00172ADC"/>
    <w:rsid w:val="00182EAB"/>
    <w:rsid w:val="001851B1"/>
    <w:rsid w:val="001D3895"/>
    <w:rsid w:val="001E5066"/>
    <w:rsid w:val="001E53C0"/>
    <w:rsid w:val="001E7700"/>
    <w:rsid w:val="001F332F"/>
    <w:rsid w:val="001F4A27"/>
    <w:rsid w:val="002262CF"/>
    <w:rsid w:val="00227842"/>
    <w:rsid w:val="00245E65"/>
    <w:rsid w:val="00273466"/>
    <w:rsid w:val="0028667C"/>
    <w:rsid w:val="00286CD2"/>
    <w:rsid w:val="002949E9"/>
    <w:rsid w:val="002B64EB"/>
    <w:rsid w:val="002C70EE"/>
    <w:rsid w:val="00315010"/>
    <w:rsid w:val="003255E6"/>
    <w:rsid w:val="0036355D"/>
    <w:rsid w:val="0038329A"/>
    <w:rsid w:val="003B1F4E"/>
    <w:rsid w:val="00403A73"/>
    <w:rsid w:val="00496A50"/>
    <w:rsid w:val="004B4E9E"/>
    <w:rsid w:val="004C29FD"/>
    <w:rsid w:val="004D4EE4"/>
    <w:rsid w:val="004F3482"/>
    <w:rsid w:val="004F4AF8"/>
    <w:rsid w:val="00537082"/>
    <w:rsid w:val="00572932"/>
    <w:rsid w:val="00581743"/>
    <w:rsid w:val="0058315D"/>
    <w:rsid w:val="005B287F"/>
    <w:rsid w:val="005D5566"/>
    <w:rsid w:val="005E2ECA"/>
    <w:rsid w:val="005E6080"/>
    <w:rsid w:val="005F79F9"/>
    <w:rsid w:val="00632598"/>
    <w:rsid w:val="006478C4"/>
    <w:rsid w:val="00693F14"/>
    <w:rsid w:val="006948E0"/>
    <w:rsid w:val="006B083D"/>
    <w:rsid w:val="006D449B"/>
    <w:rsid w:val="00705E3F"/>
    <w:rsid w:val="007C40B5"/>
    <w:rsid w:val="007D7900"/>
    <w:rsid w:val="0082663E"/>
    <w:rsid w:val="00830258"/>
    <w:rsid w:val="008506AC"/>
    <w:rsid w:val="008833A3"/>
    <w:rsid w:val="00916CE0"/>
    <w:rsid w:val="00946B13"/>
    <w:rsid w:val="009B4662"/>
    <w:rsid w:val="009C10A5"/>
    <w:rsid w:val="009C38B7"/>
    <w:rsid w:val="00A062A0"/>
    <w:rsid w:val="00A31DCD"/>
    <w:rsid w:val="00A35DEE"/>
    <w:rsid w:val="00A50C92"/>
    <w:rsid w:val="00A51EAC"/>
    <w:rsid w:val="00A61404"/>
    <w:rsid w:val="00AB5D1C"/>
    <w:rsid w:val="00AE46E9"/>
    <w:rsid w:val="00B47B85"/>
    <w:rsid w:val="00B65E3B"/>
    <w:rsid w:val="00BA0139"/>
    <w:rsid w:val="00BD2514"/>
    <w:rsid w:val="00BD2DB3"/>
    <w:rsid w:val="00BE023C"/>
    <w:rsid w:val="00C02F99"/>
    <w:rsid w:val="00C20732"/>
    <w:rsid w:val="00C52B2D"/>
    <w:rsid w:val="00C70DD9"/>
    <w:rsid w:val="00C8354D"/>
    <w:rsid w:val="00CB4829"/>
    <w:rsid w:val="00CD1040"/>
    <w:rsid w:val="00D207E8"/>
    <w:rsid w:val="00D40A01"/>
    <w:rsid w:val="00DA2E8C"/>
    <w:rsid w:val="00DE11BB"/>
    <w:rsid w:val="00DF693A"/>
    <w:rsid w:val="00E06974"/>
    <w:rsid w:val="00E415BA"/>
    <w:rsid w:val="00E632E8"/>
    <w:rsid w:val="00E703CC"/>
    <w:rsid w:val="00E8750E"/>
    <w:rsid w:val="00EA6A6A"/>
    <w:rsid w:val="00F156DC"/>
    <w:rsid w:val="00F234E2"/>
    <w:rsid w:val="00F83472"/>
    <w:rsid w:val="00FA43E9"/>
    <w:rsid w:val="00FD6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37B071"/>
  <w15:docId w15:val="{97A46B93-D623-46BA-B711-72984B7C3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 Error" w:semiHidden="1" w:unhideWhenUsed="1"/>
  </w:latentStyles>
  <w:style w:type="paragraph" w:default="1" w:styleId="a">
    <w:name w:val="Normal"/>
    <w:qFormat/>
    <w:rsid w:val="00F83472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link w:val="DefaultChar"/>
    <w:rsid w:val="00F83472"/>
    <w:pPr>
      <w:widowControl w:val="0"/>
      <w:autoSpaceDE w:val="0"/>
      <w:autoSpaceDN w:val="0"/>
      <w:adjustRightInd w:val="0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character" w:customStyle="1" w:styleId="highlight">
    <w:name w:val="highlight"/>
    <w:rsid w:val="00F83472"/>
  </w:style>
  <w:style w:type="character" w:customStyle="1" w:styleId="DefaultChar">
    <w:name w:val="Default Char"/>
    <w:link w:val="Default"/>
    <w:rsid w:val="00F83472"/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6B083D"/>
    <w:pPr>
      <w:ind w:firstLineChars="200" w:firstLine="420"/>
    </w:pPr>
  </w:style>
  <w:style w:type="character" w:styleId="a4">
    <w:name w:val="annotation reference"/>
    <w:basedOn w:val="a0"/>
    <w:uiPriority w:val="99"/>
    <w:semiHidden/>
    <w:unhideWhenUsed/>
    <w:rsid w:val="00C20732"/>
    <w:rPr>
      <w:rFonts w:ascii="Tahoma" w:hAnsi="Tahoma" w:cs="Tahoma"/>
      <w:b w:val="0"/>
      <w:i w:val="0"/>
      <w:caps w:val="0"/>
      <w:strike w:val="0"/>
      <w:sz w:val="16"/>
      <w:szCs w:val="21"/>
      <w:u w:val="none"/>
    </w:rPr>
  </w:style>
  <w:style w:type="paragraph" w:styleId="a5">
    <w:name w:val="annotation text"/>
    <w:basedOn w:val="a"/>
    <w:link w:val="a6"/>
    <w:uiPriority w:val="99"/>
    <w:semiHidden/>
    <w:unhideWhenUsed/>
    <w:rsid w:val="00C20732"/>
    <w:pPr>
      <w:jc w:val="left"/>
    </w:pPr>
    <w:rPr>
      <w:rFonts w:ascii="Tahoma" w:hAnsi="Tahoma" w:cs="Tahoma"/>
      <w:sz w:val="16"/>
    </w:rPr>
  </w:style>
  <w:style w:type="character" w:customStyle="1" w:styleId="a6">
    <w:name w:val="批注文字 字符"/>
    <w:basedOn w:val="a0"/>
    <w:link w:val="a5"/>
    <w:uiPriority w:val="99"/>
    <w:semiHidden/>
    <w:rsid w:val="00C20732"/>
    <w:rPr>
      <w:rFonts w:ascii="Tahoma" w:eastAsia="宋体" w:hAnsi="Tahoma" w:cs="Tahoma"/>
      <w:sz w:val="16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C20732"/>
    <w:rPr>
      <w:b/>
      <w:bCs/>
    </w:rPr>
  </w:style>
  <w:style w:type="character" w:customStyle="1" w:styleId="a8">
    <w:name w:val="批注主题 字符"/>
    <w:basedOn w:val="a6"/>
    <w:link w:val="a7"/>
    <w:uiPriority w:val="99"/>
    <w:semiHidden/>
    <w:rsid w:val="00C20732"/>
    <w:rPr>
      <w:rFonts w:ascii="Tahoma" w:eastAsia="宋体" w:hAnsi="Tahoma" w:cs="Tahoma"/>
      <w:b/>
      <w:bCs/>
      <w:sz w:val="16"/>
    </w:rPr>
  </w:style>
  <w:style w:type="paragraph" w:styleId="a9">
    <w:name w:val="Revision"/>
    <w:hidden/>
    <w:uiPriority w:val="99"/>
    <w:semiHidden/>
    <w:rsid w:val="00C20732"/>
    <w:rPr>
      <w:rFonts w:ascii="Calibri" w:eastAsia="宋体" w:hAnsi="Calibri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C20732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C20732"/>
    <w:rPr>
      <w:rFonts w:ascii="Calibri" w:eastAsia="宋体" w:hAnsi="Calibri" w:cs="Times New Roman"/>
      <w:sz w:val="18"/>
      <w:szCs w:val="18"/>
    </w:rPr>
  </w:style>
  <w:style w:type="paragraph" w:styleId="ac">
    <w:name w:val="header"/>
    <w:basedOn w:val="a"/>
    <w:link w:val="ad"/>
    <w:uiPriority w:val="99"/>
    <w:unhideWhenUsed/>
    <w:rsid w:val="00B47B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B47B85"/>
    <w:rPr>
      <w:rFonts w:ascii="Calibri" w:eastAsia="宋体" w:hAnsi="Calibri" w:cs="Times New Roman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B47B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B47B85"/>
    <w:rPr>
      <w:rFonts w:ascii="Calibri" w:eastAsia="宋体" w:hAnsi="Calibri" w:cs="Times New Roman"/>
      <w:sz w:val="18"/>
      <w:szCs w:val="18"/>
    </w:rPr>
  </w:style>
  <w:style w:type="table" w:styleId="af0">
    <w:name w:val="Table Grid"/>
    <w:basedOn w:val="a1"/>
    <w:uiPriority w:val="59"/>
    <w:rsid w:val="00F156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浅色1"/>
    <w:basedOn w:val="a1"/>
    <w:uiPriority w:val="40"/>
    <w:rsid w:val="0027346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8419F-4510-4159-8FD9-AC6D9AA23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李 婷</cp:lastModifiedBy>
  <cp:revision>66</cp:revision>
  <dcterms:created xsi:type="dcterms:W3CDTF">2018-07-20T12:01:00Z</dcterms:created>
  <dcterms:modified xsi:type="dcterms:W3CDTF">2019-09-14T03:02:00Z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Timer">
    <vt:bool>true</vt:bool>
  </property>
  <property fmtid="{D5CDD505-2E9C-101B-9397-08002B2CF9AE}" pid="3" name="LastTick">
    <vt:r8>43683.6114236111</vt:r8>
  </property>
  <property fmtid="{D5CDD505-2E9C-101B-9397-08002B2CF9AE}" pid="4" name="EditTimer">
    <vt:i4>470</vt:i4>
  </property>
</Properties>
</file>